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0CDC" w:rsidRDefault="00CA2A5F">
      <w:pPr>
        <w:pStyle w:val="Heading1"/>
      </w:pPr>
      <w:r>
        <w:t>Meeting Minutes – June 24</w:t>
      </w:r>
      <w:r>
        <w:rPr>
          <w:vertAlign w:val="superscript"/>
        </w:rPr>
        <w:t>th</w:t>
      </w:r>
      <w:r>
        <w:t xml:space="preserve"> 2016</w:t>
      </w:r>
    </w:p>
    <w:p w:rsidR="00720CDC" w:rsidRDefault="00CA2A5F">
      <w:pPr>
        <w:pStyle w:val="Heading2"/>
      </w:pPr>
      <w:r>
        <w:t xml:space="preserve">Commissioners </w:t>
      </w:r>
    </w:p>
    <w:tbl>
      <w:tblPr>
        <w:tblStyle w:val="a"/>
        <w:tblW w:w="10215" w:type="dxa"/>
        <w:tblInd w:w="-115" w:type="dxa"/>
        <w:tblLayout w:type="fixed"/>
        <w:tblLook w:val="0400" w:firstRow="0" w:lastRow="0" w:firstColumn="0" w:lastColumn="0" w:noHBand="0" w:noVBand="1"/>
      </w:tblPr>
      <w:tblGrid>
        <w:gridCol w:w="3570"/>
        <w:gridCol w:w="360"/>
        <w:gridCol w:w="810"/>
        <w:gridCol w:w="360"/>
        <w:gridCol w:w="3735"/>
        <w:gridCol w:w="360"/>
        <w:gridCol w:w="1020"/>
      </w:tblGrid>
      <w:tr w:rsidR="00720CDC">
        <w:tc>
          <w:tcPr>
            <w:tcW w:w="3930" w:type="dxa"/>
            <w:gridSpan w:val="2"/>
            <w:tcBorders>
              <w:top w:val="single" w:sz="4" w:space="0" w:color="FFFFFF"/>
              <w:bottom w:val="single" w:sz="4" w:space="0" w:color="FFFFFF"/>
            </w:tcBorders>
          </w:tcPr>
          <w:p w:rsidR="00720CDC" w:rsidRDefault="00CA2A5F">
            <w:r>
              <w:rPr>
                <w:b/>
              </w:rPr>
              <w:t>Commission Member</w:t>
            </w:r>
          </w:p>
        </w:tc>
        <w:tc>
          <w:tcPr>
            <w:tcW w:w="1170" w:type="dxa"/>
            <w:gridSpan w:val="2"/>
            <w:tcBorders>
              <w:top w:val="single" w:sz="4" w:space="0" w:color="FFFFFF"/>
              <w:bottom w:val="single" w:sz="4" w:space="0" w:color="FFFFFF"/>
            </w:tcBorders>
          </w:tcPr>
          <w:p w:rsidR="00720CDC" w:rsidRDefault="00CA2A5F">
            <w:r>
              <w:rPr>
                <w:b/>
              </w:rPr>
              <w:t>Present</w:t>
            </w:r>
          </w:p>
        </w:tc>
        <w:tc>
          <w:tcPr>
            <w:tcW w:w="4095" w:type="dxa"/>
            <w:gridSpan w:val="2"/>
            <w:tcBorders>
              <w:top w:val="single" w:sz="4" w:space="0" w:color="FFFFFF"/>
              <w:bottom w:val="single" w:sz="4" w:space="0" w:color="FFFFFF"/>
            </w:tcBorders>
          </w:tcPr>
          <w:p w:rsidR="00720CDC" w:rsidRDefault="00CA2A5F">
            <w:r>
              <w:rPr>
                <w:b/>
              </w:rPr>
              <w:t>Commission Member</w:t>
            </w:r>
          </w:p>
        </w:tc>
        <w:tc>
          <w:tcPr>
            <w:tcW w:w="1020" w:type="dxa"/>
            <w:tcBorders>
              <w:top w:val="single" w:sz="4" w:space="0" w:color="FFFFFF"/>
              <w:bottom w:val="single" w:sz="4" w:space="0" w:color="FFFFFF"/>
            </w:tcBorders>
          </w:tcPr>
          <w:p w:rsidR="00720CDC" w:rsidRDefault="00CA2A5F">
            <w:r>
              <w:rPr>
                <w:b/>
              </w:rPr>
              <w:t>Present</w:t>
            </w:r>
          </w:p>
        </w:tc>
      </w:tr>
      <w:tr w:rsidR="00720CDC">
        <w:tc>
          <w:tcPr>
            <w:tcW w:w="3570" w:type="dxa"/>
            <w:tcBorders>
              <w:top w:val="single" w:sz="4" w:space="0" w:color="FFFFFF"/>
            </w:tcBorders>
          </w:tcPr>
          <w:p w:rsidR="00720CDC" w:rsidRDefault="00CA2A5F">
            <w:pPr>
              <w:ind w:left="360"/>
            </w:pPr>
            <w:r>
              <w:t xml:space="preserve">Dr. Jeff Elder </w:t>
            </w:r>
          </w:p>
        </w:tc>
        <w:tc>
          <w:tcPr>
            <w:tcW w:w="1170" w:type="dxa"/>
            <w:gridSpan w:val="2"/>
            <w:tcBorders>
              <w:top w:val="single" w:sz="4" w:space="0" w:color="FFFFFF"/>
            </w:tcBorders>
          </w:tcPr>
          <w:p w:rsidR="00720CDC" w:rsidRDefault="00CA2A5F">
            <w:pPr>
              <w:ind w:left="360"/>
            </w:pPr>
            <w:r>
              <w:t>Yes</w:t>
            </w:r>
          </w:p>
        </w:tc>
        <w:tc>
          <w:tcPr>
            <w:tcW w:w="4095" w:type="dxa"/>
            <w:gridSpan w:val="2"/>
            <w:tcBorders>
              <w:top w:val="single" w:sz="4" w:space="0" w:color="FFFFFF"/>
            </w:tcBorders>
          </w:tcPr>
          <w:p w:rsidR="00720CDC" w:rsidRDefault="00CA2A5F">
            <w:pPr>
              <w:ind w:left="360"/>
            </w:pPr>
            <w:r>
              <w:t>Travis Schulze</w:t>
            </w:r>
          </w:p>
        </w:tc>
        <w:tc>
          <w:tcPr>
            <w:tcW w:w="1380" w:type="dxa"/>
            <w:gridSpan w:val="2"/>
            <w:tcBorders>
              <w:top w:val="single" w:sz="4" w:space="0" w:color="FFFFFF"/>
            </w:tcBorders>
          </w:tcPr>
          <w:p w:rsidR="00720CDC" w:rsidRDefault="00CA2A5F">
            <w:r>
              <w:t>Yes</w:t>
            </w:r>
          </w:p>
        </w:tc>
      </w:tr>
      <w:tr w:rsidR="00720CDC">
        <w:tc>
          <w:tcPr>
            <w:tcW w:w="3570" w:type="dxa"/>
          </w:tcPr>
          <w:p w:rsidR="00720CDC" w:rsidRDefault="00CA2A5F">
            <w:pPr>
              <w:ind w:left="360"/>
            </w:pPr>
            <w:r>
              <w:t>Dr. Jeff Kuo</w:t>
            </w:r>
          </w:p>
        </w:tc>
        <w:tc>
          <w:tcPr>
            <w:tcW w:w="1170" w:type="dxa"/>
            <w:gridSpan w:val="2"/>
          </w:tcPr>
          <w:p w:rsidR="00720CDC" w:rsidRDefault="00CA2A5F">
            <w:pPr>
              <w:ind w:left="360"/>
            </w:pPr>
            <w:r>
              <w:t>Yes</w:t>
            </w:r>
          </w:p>
        </w:tc>
        <w:tc>
          <w:tcPr>
            <w:tcW w:w="4095" w:type="dxa"/>
            <w:gridSpan w:val="2"/>
          </w:tcPr>
          <w:p w:rsidR="00720CDC" w:rsidRDefault="00CA2A5F">
            <w:pPr>
              <w:ind w:left="360"/>
            </w:pPr>
            <w:r>
              <w:t>Tammy Gray</w:t>
            </w:r>
          </w:p>
        </w:tc>
        <w:tc>
          <w:tcPr>
            <w:tcW w:w="1380" w:type="dxa"/>
            <w:gridSpan w:val="2"/>
          </w:tcPr>
          <w:p w:rsidR="00720CDC" w:rsidRDefault="00CA2A5F">
            <w:r>
              <w:t>Yes</w:t>
            </w:r>
          </w:p>
        </w:tc>
      </w:tr>
      <w:tr w:rsidR="00720CDC">
        <w:tc>
          <w:tcPr>
            <w:tcW w:w="3570" w:type="dxa"/>
          </w:tcPr>
          <w:p w:rsidR="00720CDC" w:rsidRDefault="00CA2A5F">
            <w:pPr>
              <w:ind w:left="360"/>
            </w:pPr>
            <w:r>
              <w:t>Mark Majors</w:t>
            </w:r>
          </w:p>
        </w:tc>
        <w:tc>
          <w:tcPr>
            <w:tcW w:w="1170" w:type="dxa"/>
            <w:gridSpan w:val="2"/>
          </w:tcPr>
          <w:p w:rsidR="00720CDC" w:rsidRDefault="00CA2A5F">
            <w:pPr>
              <w:ind w:left="360"/>
            </w:pPr>
            <w:r>
              <w:t>Yes</w:t>
            </w:r>
          </w:p>
        </w:tc>
        <w:tc>
          <w:tcPr>
            <w:tcW w:w="4095" w:type="dxa"/>
            <w:gridSpan w:val="2"/>
          </w:tcPr>
          <w:p w:rsidR="00720CDC" w:rsidRDefault="00CA2A5F">
            <w:pPr>
              <w:ind w:left="360"/>
            </w:pPr>
            <w:r>
              <w:t>Jeff Watson</w:t>
            </w:r>
          </w:p>
        </w:tc>
        <w:tc>
          <w:tcPr>
            <w:tcW w:w="1380" w:type="dxa"/>
            <w:gridSpan w:val="2"/>
          </w:tcPr>
          <w:p w:rsidR="00720CDC" w:rsidRDefault="00CA2A5F">
            <w:r>
              <w:t>Yes</w:t>
            </w:r>
          </w:p>
        </w:tc>
      </w:tr>
      <w:tr w:rsidR="00720CDC">
        <w:tc>
          <w:tcPr>
            <w:tcW w:w="3570" w:type="dxa"/>
          </w:tcPr>
          <w:p w:rsidR="00720CDC" w:rsidRDefault="00CA2A5F">
            <w:pPr>
              <w:ind w:left="360"/>
            </w:pPr>
            <w:r>
              <w:t>Chris Mixon</w:t>
            </w:r>
          </w:p>
        </w:tc>
        <w:tc>
          <w:tcPr>
            <w:tcW w:w="1170" w:type="dxa"/>
            <w:gridSpan w:val="2"/>
          </w:tcPr>
          <w:p w:rsidR="00720CDC" w:rsidRDefault="00CA2A5F">
            <w:pPr>
              <w:ind w:left="360"/>
            </w:pPr>
            <w:r>
              <w:t>Yes</w:t>
            </w:r>
          </w:p>
        </w:tc>
        <w:tc>
          <w:tcPr>
            <w:tcW w:w="4095" w:type="dxa"/>
            <w:gridSpan w:val="2"/>
          </w:tcPr>
          <w:p w:rsidR="00720CDC" w:rsidRDefault="00CA2A5F">
            <w:pPr>
              <w:ind w:left="360"/>
            </w:pPr>
            <w:r>
              <w:t>Barbara Sellers</w:t>
            </w:r>
          </w:p>
        </w:tc>
        <w:tc>
          <w:tcPr>
            <w:tcW w:w="1380" w:type="dxa"/>
            <w:gridSpan w:val="2"/>
          </w:tcPr>
          <w:p w:rsidR="00720CDC" w:rsidRDefault="00CA2A5F">
            <w:r>
              <w:t>Yes</w:t>
            </w:r>
          </w:p>
        </w:tc>
      </w:tr>
      <w:tr w:rsidR="00720CDC">
        <w:tc>
          <w:tcPr>
            <w:tcW w:w="3570" w:type="dxa"/>
            <w:tcBorders>
              <w:bottom w:val="single" w:sz="4" w:space="0" w:color="FFFFFF"/>
            </w:tcBorders>
          </w:tcPr>
          <w:p w:rsidR="00720CDC" w:rsidRDefault="00CA2A5F">
            <w:pPr>
              <w:ind w:left="360"/>
            </w:pPr>
            <w:r>
              <w:t>Michael Doiron</w:t>
            </w:r>
          </w:p>
        </w:tc>
        <w:tc>
          <w:tcPr>
            <w:tcW w:w="1170" w:type="dxa"/>
            <w:gridSpan w:val="2"/>
            <w:tcBorders>
              <w:bottom w:val="single" w:sz="4" w:space="0" w:color="FFFFFF"/>
            </w:tcBorders>
          </w:tcPr>
          <w:p w:rsidR="00720CDC" w:rsidRDefault="00CA2A5F">
            <w:pPr>
              <w:ind w:left="360"/>
            </w:pPr>
            <w:r>
              <w:t>No</w:t>
            </w:r>
          </w:p>
        </w:tc>
        <w:tc>
          <w:tcPr>
            <w:tcW w:w="4095" w:type="dxa"/>
            <w:gridSpan w:val="2"/>
            <w:tcBorders>
              <w:bottom w:val="single" w:sz="4" w:space="0" w:color="FFFFFF"/>
            </w:tcBorders>
          </w:tcPr>
          <w:p w:rsidR="00720CDC" w:rsidRDefault="00CA2A5F">
            <w:pPr>
              <w:ind w:left="360"/>
            </w:pPr>
            <w:r>
              <w:t>Dr. Lance Stuke</w:t>
            </w:r>
          </w:p>
        </w:tc>
        <w:tc>
          <w:tcPr>
            <w:tcW w:w="1380" w:type="dxa"/>
            <w:gridSpan w:val="2"/>
            <w:tcBorders>
              <w:bottom w:val="single" w:sz="4" w:space="0" w:color="FFFFFF"/>
            </w:tcBorders>
          </w:tcPr>
          <w:p w:rsidR="00720CDC" w:rsidRDefault="00CA2A5F">
            <w:r>
              <w:t>No</w:t>
            </w:r>
          </w:p>
        </w:tc>
      </w:tr>
      <w:tr w:rsidR="00720CDC">
        <w:tc>
          <w:tcPr>
            <w:tcW w:w="3570" w:type="dxa"/>
            <w:tcBorders>
              <w:bottom w:val="single" w:sz="4" w:space="0" w:color="FFFFFF"/>
            </w:tcBorders>
          </w:tcPr>
          <w:p w:rsidR="00720CDC" w:rsidRDefault="00CA2A5F">
            <w:pPr>
              <w:ind w:left="360"/>
            </w:pPr>
            <w:r>
              <w:t>Dr. Cristina Zeretzke</w:t>
            </w:r>
          </w:p>
        </w:tc>
        <w:tc>
          <w:tcPr>
            <w:tcW w:w="1170" w:type="dxa"/>
            <w:gridSpan w:val="2"/>
            <w:tcBorders>
              <w:bottom w:val="single" w:sz="4" w:space="0" w:color="FFFFFF"/>
            </w:tcBorders>
          </w:tcPr>
          <w:p w:rsidR="00720CDC" w:rsidRDefault="00CA2A5F">
            <w:pPr>
              <w:ind w:left="360"/>
            </w:pPr>
            <w:r>
              <w:t>No</w:t>
            </w:r>
          </w:p>
        </w:tc>
        <w:tc>
          <w:tcPr>
            <w:tcW w:w="4095" w:type="dxa"/>
            <w:gridSpan w:val="2"/>
            <w:tcBorders>
              <w:bottom w:val="single" w:sz="4" w:space="0" w:color="FFFFFF"/>
            </w:tcBorders>
          </w:tcPr>
          <w:p w:rsidR="00720CDC" w:rsidRDefault="00CA2A5F">
            <w:pPr>
              <w:ind w:left="360"/>
            </w:pPr>
            <w:r>
              <w:t>Barbara Sellers</w:t>
            </w:r>
          </w:p>
        </w:tc>
        <w:tc>
          <w:tcPr>
            <w:tcW w:w="1380" w:type="dxa"/>
            <w:gridSpan w:val="2"/>
            <w:tcBorders>
              <w:bottom w:val="single" w:sz="4" w:space="0" w:color="FFFFFF"/>
            </w:tcBorders>
          </w:tcPr>
          <w:p w:rsidR="00720CDC" w:rsidRDefault="00CA2A5F">
            <w:r>
              <w:t>Yes</w:t>
            </w:r>
          </w:p>
        </w:tc>
      </w:tr>
      <w:tr w:rsidR="00720CDC">
        <w:tc>
          <w:tcPr>
            <w:tcW w:w="3930" w:type="dxa"/>
            <w:gridSpan w:val="2"/>
            <w:tcBorders>
              <w:top w:val="single" w:sz="4" w:space="0" w:color="FFFFFF"/>
              <w:bottom w:val="single" w:sz="4" w:space="0" w:color="FFFFFF"/>
            </w:tcBorders>
          </w:tcPr>
          <w:p w:rsidR="00720CDC" w:rsidRDefault="00CA2A5F">
            <w:r>
              <w:t xml:space="preserve">Quorum </w:t>
            </w:r>
          </w:p>
        </w:tc>
        <w:tc>
          <w:tcPr>
            <w:tcW w:w="1170" w:type="dxa"/>
            <w:gridSpan w:val="2"/>
            <w:tcBorders>
              <w:top w:val="single" w:sz="4" w:space="0" w:color="FFFFFF"/>
              <w:bottom w:val="single" w:sz="4" w:space="0" w:color="FFFFFF"/>
            </w:tcBorders>
          </w:tcPr>
          <w:p w:rsidR="00720CDC" w:rsidRDefault="00CA2A5F">
            <w:r>
              <w:t>Yes</w:t>
            </w:r>
          </w:p>
        </w:tc>
        <w:tc>
          <w:tcPr>
            <w:tcW w:w="4095" w:type="dxa"/>
            <w:gridSpan w:val="2"/>
            <w:tcBorders>
              <w:top w:val="single" w:sz="4" w:space="0" w:color="FFFFFF"/>
              <w:bottom w:val="single" w:sz="4" w:space="0" w:color="FFFFFF"/>
            </w:tcBorders>
          </w:tcPr>
          <w:p w:rsidR="00720CDC" w:rsidRDefault="00720CDC">
            <w:pPr>
              <w:spacing w:after="160" w:line="259" w:lineRule="auto"/>
              <w:ind w:left="360"/>
            </w:pPr>
          </w:p>
        </w:tc>
        <w:tc>
          <w:tcPr>
            <w:tcW w:w="1020" w:type="dxa"/>
            <w:tcBorders>
              <w:top w:val="single" w:sz="4" w:space="0" w:color="FFFFFF"/>
              <w:bottom w:val="single" w:sz="4" w:space="0" w:color="FFFFFF"/>
            </w:tcBorders>
          </w:tcPr>
          <w:p w:rsidR="00720CDC" w:rsidRDefault="00720CDC"/>
        </w:tc>
      </w:tr>
    </w:tbl>
    <w:p w:rsidR="00720CDC" w:rsidRDefault="00CA2A5F">
      <w:pPr>
        <w:pStyle w:val="Heading2"/>
      </w:pPr>
      <w:r>
        <w:t xml:space="preserve">Bureau of EMS </w:t>
      </w:r>
    </w:p>
    <w:tbl>
      <w:tblPr>
        <w:tblStyle w:val="a0"/>
        <w:tblW w:w="952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675"/>
        <w:gridCol w:w="1185"/>
        <w:gridCol w:w="3570"/>
        <w:gridCol w:w="1095"/>
      </w:tblGrid>
      <w:tr w:rsidR="00720CDC">
        <w:tc>
          <w:tcPr>
            <w:tcW w:w="3675" w:type="dxa"/>
          </w:tcPr>
          <w:p w:rsidR="00720CDC" w:rsidRDefault="00CA2A5F">
            <w:r>
              <w:rPr>
                <w:b/>
              </w:rPr>
              <w:t>Staff Member</w:t>
            </w:r>
          </w:p>
        </w:tc>
        <w:tc>
          <w:tcPr>
            <w:tcW w:w="1185" w:type="dxa"/>
          </w:tcPr>
          <w:p w:rsidR="00720CDC" w:rsidRDefault="00CA2A5F">
            <w:r>
              <w:rPr>
                <w:b/>
              </w:rPr>
              <w:t>Present</w:t>
            </w:r>
          </w:p>
        </w:tc>
        <w:tc>
          <w:tcPr>
            <w:tcW w:w="3570" w:type="dxa"/>
          </w:tcPr>
          <w:p w:rsidR="00720CDC" w:rsidRDefault="00720CDC"/>
        </w:tc>
        <w:tc>
          <w:tcPr>
            <w:tcW w:w="1095" w:type="dxa"/>
          </w:tcPr>
          <w:p w:rsidR="00720CDC" w:rsidRDefault="00CA2A5F">
            <w:r>
              <w:rPr>
                <w:b/>
              </w:rPr>
              <w:t>Present</w:t>
            </w:r>
          </w:p>
        </w:tc>
      </w:tr>
      <w:tr w:rsidR="00720CDC">
        <w:tc>
          <w:tcPr>
            <w:tcW w:w="3675" w:type="dxa"/>
          </w:tcPr>
          <w:p w:rsidR="00720CDC" w:rsidRDefault="00CA2A5F">
            <w:r>
              <w:t>Avis Richard-Griffin</w:t>
            </w:r>
          </w:p>
        </w:tc>
        <w:tc>
          <w:tcPr>
            <w:tcW w:w="1185" w:type="dxa"/>
          </w:tcPr>
          <w:p w:rsidR="00720CDC" w:rsidRDefault="00CA2A5F">
            <w:r>
              <w:t>Yes</w:t>
            </w:r>
          </w:p>
        </w:tc>
        <w:tc>
          <w:tcPr>
            <w:tcW w:w="3570" w:type="dxa"/>
          </w:tcPr>
          <w:p w:rsidR="00720CDC" w:rsidRDefault="00CA2A5F">
            <w:r>
              <w:t>Liz Fiato</w:t>
            </w:r>
          </w:p>
        </w:tc>
        <w:tc>
          <w:tcPr>
            <w:tcW w:w="1095" w:type="dxa"/>
          </w:tcPr>
          <w:p w:rsidR="00720CDC" w:rsidRDefault="00CA2A5F">
            <w:r>
              <w:t>Yes</w:t>
            </w:r>
          </w:p>
        </w:tc>
      </w:tr>
      <w:tr w:rsidR="00720CDC">
        <w:tc>
          <w:tcPr>
            <w:tcW w:w="3675" w:type="dxa"/>
          </w:tcPr>
          <w:p w:rsidR="00720CDC" w:rsidRDefault="00CA2A5F">
            <w:r>
              <w:t>Stephen Phillipe Sr.</w:t>
            </w:r>
          </w:p>
        </w:tc>
        <w:tc>
          <w:tcPr>
            <w:tcW w:w="1185" w:type="dxa"/>
          </w:tcPr>
          <w:p w:rsidR="00720CDC" w:rsidRDefault="00CA2A5F">
            <w:r>
              <w:t>Yes</w:t>
            </w:r>
          </w:p>
        </w:tc>
        <w:tc>
          <w:tcPr>
            <w:tcW w:w="3570" w:type="dxa"/>
          </w:tcPr>
          <w:p w:rsidR="00720CDC" w:rsidRDefault="00CA2A5F">
            <w:r>
              <w:t>Rochelle Grayer</w:t>
            </w:r>
          </w:p>
        </w:tc>
        <w:tc>
          <w:tcPr>
            <w:tcW w:w="1095" w:type="dxa"/>
          </w:tcPr>
          <w:p w:rsidR="00720CDC" w:rsidRDefault="00CA2A5F">
            <w:r>
              <w:t>Yes</w:t>
            </w:r>
          </w:p>
        </w:tc>
      </w:tr>
      <w:tr w:rsidR="00720CDC">
        <w:tc>
          <w:tcPr>
            <w:tcW w:w="3675" w:type="dxa"/>
          </w:tcPr>
          <w:p w:rsidR="00720CDC" w:rsidRDefault="00CA2A5F">
            <w:r>
              <w:t>David McCay</w:t>
            </w:r>
          </w:p>
        </w:tc>
        <w:tc>
          <w:tcPr>
            <w:tcW w:w="1185" w:type="dxa"/>
          </w:tcPr>
          <w:p w:rsidR="00720CDC" w:rsidRDefault="00CA2A5F">
            <w:r>
              <w:t>Yes</w:t>
            </w:r>
          </w:p>
        </w:tc>
        <w:tc>
          <w:tcPr>
            <w:tcW w:w="3570" w:type="dxa"/>
          </w:tcPr>
          <w:p w:rsidR="00720CDC" w:rsidRDefault="00720CDC"/>
        </w:tc>
        <w:tc>
          <w:tcPr>
            <w:tcW w:w="1095" w:type="dxa"/>
          </w:tcPr>
          <w:p w:rsidR="00720CDC" w:rsidRDefault="00720CDC"/>
        </w:tc>
      </w:tr>
    </w:tbl>
    <w:p w:rsidR="00720CDC" w:rsidRDefault="00CA2A5F">
      <w:pPr>
        <w:pStyle w:val="Heading2"/>
      </w:pPr>
      <w:r>
        <w:t>Agenda</w:t>
      </w:r>
    </w:p>
    <w:p w:rsidR="000A6239" w:rsidRPr="000A6239" w:rsidRDefault="000A6239" w:rsidP="000A6239">
      <w:pPr>
        <w:pStyle w:val="ListParagraph"/>
        <w:numPr>
          <w:ilvl w:val="0"/>
          <w:numId w:val="5"/>
        </w:numPr>
      </w:pPr>
      <w:bookmarkStart w:id="0" w:name="h.gjdgxs" w:colFirst="0" w:colLast="0"/>
      <w:bookmarkEnd w:id="0"/>
      <w:r w:rsidRPr="000A6239">
        <w:t>Called to order at 0900 in Open Session</w:t>
      </w:r>
    </w:p>
    <w:p w:rsidR="00720CDC" w:rsidRPr="000A6239" w:rsidRDefault="00CA2A5F" w:rsidP="000A6239">
      <w:pPr>
        <w:pStyle w:val="ListParagraph"/>
        <w:numPr>
          <w:ilvl w:val="0"/>
          <w:numId w:val="5"/>
        </w:numPr>
      </w:pPr>
      <w:r w:rsidRPr="000A6239">
        <w:t>Election of Officers</w:t>
      </w:r>
    </w:p>
    <w:p w:rsidR="00720CDC" w:rsidRPr="000A6239" w:rsidRDefault="00CA2A5F" w:rsidP="000A6239">
      <w:pPr>
        <w:pStyle w:val="ListParagraph"/>
        <w:numPr>
          <w:ilvl w:val="1"/>
          <w:numId w:val="5"/>
        </w:numPr>
      </w:pPr>
      <w:r w:rsidRPr="000A6239">
        <w:t>Dr. Jeff Elder elected as EMS Commission Chair</w:t>
      </w:r>
    </w:p>
    <w:p w:rsidR="00720CDC" w:rsidRPr="000A6239" w:rsidRDefault="00CA2A5F" w:rsidP="000A6239">
      <w:pPr>
        <w:pStyle w:val="ListParagraph"/>
        <w:numPr>
          <w:ilvl w:val="1"/>
          <w:numId w:val="5"/>
        </w:numPr>
      </w:pPr>
      <w:r w:rsidRPr="000A6239">
        <w:t>Mr. Mark Majors elected as Co-Chair</w:t>
      </w:r>
    </w:p>
    <w:p w:rsidR="00720CDC" w:rsidRPr="000A6239" w:rsidRDefault="00CA2A5F" w:rsidP="000A6239">
      <w:pPr>
        <w:pStyle w:val="ListParagraph"/>
        <w:numPr>
          <w:ilvl w:val="1"/>
          <w:numId w:val="5"/>
        </w:numPr>
      </w:pPr>
      <w:r w:rsidRPr="000A6239">
        <w:t>Mr. Chris Mixon elected as Secretary</w:t>
      </w:r>
    </w:p>
    <w:p w:rsidR="00720CDC" w:rsidRPr="000A6239" w:rsidRDefault="00CA2A5F" w:rsidP="000A6239">
      <w:pPr>
        <w:pStyle w:val="ListParagraph"/>
        <w:numPr>
          <w:ilvl w:val="0"/>
          <w:numId w:val="5"/>
        </w:numPr>
      </w:pPr>
      <w:r w:rsidRPr="000A6239">
        <w:t>Mrs. Avis Richard-Griffin introduced as interim Director for LA. BEMS</w:t>
      </w:r>
    </w:p>
    <w:p w:rsidR="00720CDC" w:rsidRPr="000A6239" w:rsidRDefault="00CA2A5F" w:rsidP="000A6239">
      <w:pPr>
        <w:pStyle w:val="ListParagraph"/>
        <w:numPr>
          <w:ilvl w:val="0"/>
          <w:numId w:val="5"/>
        </w:numPr>
      </w:pPr>
      <w:r w:rsidRPr="000A6239">
        <w:t>New Commissioner Education Session</w:t>
      </w:r>
      <w:r w:rsidR="000A6239" w:rsidRPr="000A6239">
        <w:t xml:space="preserve"> conducted by Stephen Phillipe for the Bureau</w:t>
      </w:r>
    </w:p>
    <w:p w:rsidR="00720CDC" w:rsidRPr="000A6239" w:rsidRDefault="00CA2A5F" w:rsidP="000A6239">
      <w:pPr>
        <w:pStyle w:val="ListParagraph"/>
        <w:numPr>
          <w:ilvl w:val="0"/>
          <w:numId w:val="5"/>
        </w:numPr>
      </w:pPr>
      <w:r w:rsidRPr="000A6239">
        <w:t>A review of the Authority, Powers and Duties of the EMS commission was presented by Stephen Phillipe on behalf of BEMS.</w:t>
      </w:r>
    </w:p>
    <w:p w:rsidR="00720CDC" w:rsidRPr="000A6239" w:rsidRDefault="00CA2A5F" w:rsidP="000A6239">
      <w:pPr>
        <w:pStyle w:val="ListParagraph"/>
        <w:numPr>
          <w:ilvl w:val="0"/>
          <w:numId w:val="5"/>
        </w:numPr>
      </w:pPr>
      <w:r w:rsidRPr="000A6239">
        <w:t>An introduction of the attending BEMS staff was made</w:t>
      </w:r>
    </w:p>
    <w:p w:rsidR="000A6239" w:rsidRDefault="000A6239" w:rsidP="000A6239">
      <w:pPr>
        <w:pStyle w:val="ListParagraph"/>
        <w:numPr>
          <w:ilvl w:val="0"/>
          <w:numId w:val="5"/>
        </w:numPr>
      </w:pPr>
      <w:r w:rsidRPr="000A6239">
        <w:t xml:space="preserve">Disciplinary </w:t>
      </w:r>
      <w:r>
        <w:t>proceedings</w:t>
      </w:r>
      <w:r>
        <w:t xml:space="preserve"> are listed in Table 1</w:t>
      </w:r>
    </w:p>
    <w:p w:rsidR="00C5280F" w:rsidRDefault="00C5280F" w:rsidP="000A6239">
      <w:pPr>
        <w:pStyle w:val="ListParagraph"/>
        <w:numPr>
          <w:ilvl w:val="0"/>
          <w:numId w:val="5"/>
        </w:numPr>
      </w:pPr>
      <w:r>
        <w:t>Old Business is listed in Table 2</w:t>
      </w:r>
    </w:p>
    <w:p w:rsidR="00C5280F" w:rsidRDefault="00C5280F" w:rsidP="000A6239">
      <w:pPr>
        <w:pStyle w:val="ListParagraph"/>
        <w:numPr>
          <w:ilvl w:val="0"/>
          <w:numId w:val="5"/>
        </w:numPr>
      </w:pPr>
      <w:r>
        <w:t>New Business is listed in Table 3</w:t>
      </w:r>
    </w:p>
    <w:p w:rsidR="000A6239" w:rsidRDefault="000A6239" w:rsidP="000A6239">
      <w:pPr>
        <w:pStyle w:val="ListParagraph"/>
        <w:numPr>
          <w:ilvl w:val="0"/>
          <w:numId w:val="5"/>
        </w:numPr>
      </w:pPr>
      <w:r>
        <w:t>Meeting was adjourned at 14:20</w:t>
      </w:r>
    </w:p>
    <w:p w:rsidR="000A6239" w:rsidRDefault="000A6239" w:rsidP="000A6239">
      <w:pPr>
        <w:pStyle w:val="ListParagraph"/>
        <w:numPr>
          <w:ilvl w:val="0"/>
          <w:numId w:val="5"/>
        </w:numPr>
      </w:pPr>
      <w:r w:rsidRPr="000A6239">
        <w:rPr>
          <w:rFonts w:ascii="Calibri" w:eastAsia="Calibri" w:hAnsi="Calibri" w:cs="Calibri"/>
        </w:rPr>
        <w:t xml:space="preserve">Next Meeting is scheduled for August </w:t>
      </w:r>
      <w:r>
        <w:t>19, 2016</w:t>
      </w:r>
    </w:p>
    <w:p w:rsidR="00720CDC" w:rsidRDefault="00720CDC"/>
    <w:p w:rsidR="00022107" w:rsidRDefault="000A6239" w:rsidP="00D16B98">
      <w:pPr>
        <w:pStyle w:val="Heading2"/>
      </w:pPr>
      <w:r>
        <w:lastRenderedPageBreak/>
        <w:t>Table 1 - Formal Disciplinary Hearings</w:t>
      </w:r>
    </w:p>
    <w:tbl>
      <w:tblPr>
        <w:tblStyle w:val="TableGrid"/>
        <w:tblW w:w="0" w:type="auto"/>
        <w:tblLook w:val="04A0" w:firstRow="1" w:lastRow="0" w:firstColumn="1" w:lastColumn="0" w:noHBand="0" w:noVBand="1"/>
      </w:tblPr>
      <w:tblGrid>
        <w:gridCol w:w="2088"/>
        <w:gridCol w:w="4860"/>
        <w:gridCol w:w="2628"/>
      </w:tblGrid>
      <w:tr w:rsidR="00022107" w:rsidTr="00703863">
        <w:tc>
          <w:tcPr>
            <w:tcW w:w="2088" w:type="dxa"/>
          </w:tcPr>
          <w:p w:rsidR="00022107" w:rsidRDefault="00022107">
            <w:r>
              <w:t>Name</w:t>
            </w:r>
          </w:p>
        </w:tc>
        <w:tc>
          <w:tcPr>
            <w:tcW w:w="4860" w:type="dxa"/>
          </w:tcPr>
          <w:p w:rsidR="00022107" w:rsidRDefault="00022107">
            <w:r>
              <w:t>Violation/ Infraction</w:t>
            </w:r>
          </w:p>
        </w:tc>
        <w:tc>
          <w:tcPr>
            <w:tcW w:w="2628" w:type="dxa"/>
          </w:tcPr>
          <w:p w:rsidR="00022107" w:rsidRDefault="00022107">
            <w:r>
              <w:t>Action Taken</w:t>
            </w:r>
          </w:p>
        </w:tc>
      </w:tr>
      <w:tr w:rsidR="00022107" w:rsidTr="00703863">
        <w:tc>
          <w:tcPr>
            <w:tcW w:w="2088" w:type="dxa"/>
          </w:tcPr>
          <w:p w:rsidR="00022107" w:rsidRDefault="00022107" w:rsidP="00022107">
            <w:pPr>
              <w:jc w:val="left"/>
            </w:pPr>
            <w:r>
              <w:t>Bryan Englebert</w:t>
            </w:r>
          </w:p>
        </w:tc>
        <w:tc>
          <w:tcPr>
            <w:tcW w:w="4860" w:type="dxa"/>
          </w:tcPr>
          <w:p w:rsidR="00022107" w:rsidRDefault="008F7582" w:rsidP="00022107">
            <w:pPr>
              <w:jc w:val="left"/>
            </w:pPr>
            <w:r>
              <w:t>NREMT audit shows status of “ emergency suspension” due to license action taken by Mississippi BEMS</w:t>
            </w:r>
          </w:p>
        </w:tc>
        <w:tc>
          <w:tcPr>
            <w:tcW w:w="2628" w:type="dxa"/>
          </w:tcPr>
          <w:p w:rsidR="00022107" w:rsidRDefault="00703863" w:rsidP="0067495D">
            <w:pPr>
              <w:jc w:val="left"/>
            </w:pPr>
            <w:r>
              <w:t>N</w:t>
            </w:r>
            <w:r w:rsidR="0067495D">
              <w:t>o Action</w:t>
            </w:r>
          </w:p>
        </w:tc>
      </w:tr>
      <w:tr w:rsidR="00022107" w:rsidTr="00703863">
        <w:tc>
          <w:tcPr>
            <w:tcW w:w="2088" w:type="dxa"/>
          </w:tcPr>
          <w:p w:rsidR="00022107" w:rsidRDefault="00022107" w:rsidP="00022107">
            <w:pPr>
              <w:jc w:val="left"/>
            </w:pPr>
            <w:r>
              <w:t>Michael Keel</w:t>
            </w:r>
          </w:p>
        </w:tc>
        <w:tc>
          <w:tcPr>
            <w:tcW w:w="4860" w:type="dxa"/>
          </w:tcPr>
          <w:p w:rsidR="00022107" w:rsidRDefault="008F7582" w:rsidP="008F7582">
            <w:pPr>
              <w:jc w:val="left"/>
            </w:pPr>
            <w:r>
              <w:t xml:space="preserve">Self-disclosed conviction on a case of insurance fraud on renewal.  Presented to EMSCC for review. </w:t>
            </w:r>
          </w:p>
        </w:tc>
        <w:tc>
          <w:tcPr>
            <w:tcW w:w="2628" w:type="dxa"/>
          </w:tcPr>
          <w:p w:rsidR="00022107" w:rsidRDefault="00022107" w:rsidP="00022107">
            <w:pPr>
              <w:jc w:val="left"/>
            </w:pPr>
            <w:r>
              <w:t>License renewed, with 2 year probationary period</w:t>
            </w:r>
            <w:r w:rsidR="00703863">
              <w:t xml:space="preserve"> to end April 2018 concurrent with probation</w:t>
            </w:r>
          </w:p>
        </w:tc>
      </w:tr>
      <w:tr w:rsidR="00022107" w:rsidTr="00703863">
        <w:trPr>
          <w:trHeight w:val="449"/>
        </w:trPr>
        <w:tc>
          <w:tcPr>
            <w:tcW w:w="2088" w:type="dxa"/>
          </w:tcPr>
          <w:p w:rsidR="00022107" w:rsidRDefault="00022107" w:rsidP="00022107">
            <w:pPr>
              <w:jc w:val="left"/>
            </w:pPr>
            <w:r>
              <w:t>Jason Schwebel</w:t>
            </w:r>
          </w:p>
        </w:tc>
        <w:tc>
          <w:tcPr>
            <w:tcW w:w="4860" w:type="dxa"/>
          </w:tcPr>
          <w:p w:rsidR="00022107" w:rsidRDefault="008F7582" w:rsidP="00022107">
            <w:pPr>
              <w:jc w:val="left"/>
            </w:pPr>
            <w:r>
              <w:t>Charged with domestic battery and child endangerment. Case is still pending.</w:t>
            </w:r>
          </w:p>
        </w:tc>
        <w:tc>
          <w:tcPr>
            <w:tcW w:w="2628" w:type="dxa"/>
          </w:tcPr>
          <w:p w:rsidR="00022107" w:rsidRDefault="00703863" w:rsidP="00022107">
            <w:pPr>
              <w:jc w:val="left"/>
            </w:pPr>
            <w:r>
              <w:t>No Action – Continued</w:t>
            </w:r>
          </w:p>
        </w:tc>
      </w:tr>
      <w:tr w:rsidR="00022107" w:rsidTr="00703863">
        <w:tc>
          <w:tcPr>
            <w:tcW w:w="2088" w:type="dxa"/>
          </w:tcPr>
          <w:p w:rsidR="00022107" w:rsidRDefault="00022107" w:rsidP="00022107">
            <w:pPr>
              <w:jc w:val="left"/>
            </w:pPr>
            <w:r>
              <w:t>Russel Eues</w:t>
            </w:r>
          </w:p>
        </w:tc>
        <w:tc>
          <w:tcPr>
            <w:tcW w:w="4860" w:type="dxa"/>
          </w:tcPr>
          <w:p w:rsidR="00022107" w:rsidRDefault="008F7582" w:rsidP="00022107">
            <w:pPr>
              <w:jc w:val="left"/>
            </w:pPr>
            <w:r>
              <w:t>Convicted of 1</w:t>
            </w:r>
            <w:r w:rsidRPr="008F7582">
              <w:rPr>
                <w:vertAlign w:val="superscript"/>
              </w:rPr>
              <w:t>st</w:t>
            </w:r>
            <w:r>
              <w:t xml:space="preserve"> offense domestic battery.  Has met all probation requirements and has no other criminal history or pending charges.</w:t>
            </w:r>
          </w:p>
        </w:tc>
        <w:tc>
          <w:tcPr>
            <w:tcW w:w="2628" w:type="dxa"/>
          </w:tcPr>
          <w:p w:rsidR="00022107" w:rsidRDefault="00022107" w:rsidP="00022107">
            <w:pPr>
              <w:jc w:val="left"/>
            </w:pPr>
            <w:r>
              <w:t xml:space="preserve">License </w:t>
            </w:r>
            <w:r>
              <w:t>granted</w:t>
            </w:r>
            <w:r>
              <w:t>, with 2 year probationary period</w:t>
            </w:r>
          </w:p>
        </w:tc>
      </w:tr>
      <w:tr w:rsidR="00022107" w:rsidTr="00703863">
        <w:tc>
          <w:tcPr>
            <w:tcW w:w="2088" w:type="dxa"/>
          </w:tcPr>
          <w:p w:rsidR="00022107" w:rsidRDefault="00022107" w:rsidP="00022107">
            <w:pPr>
              <w:jc w:val="left"/>
            </w:pPr>
            <w:r>
              <w:t>John Fowler</w:t>
            </w:r>
          </w:p>
        </w:tc>
        <w:tc>
          <w:tcPr>
            <w:tcW w:w="4860" w:type="dxa"/>
          </w:tcPr>
          <w:p w:rsidR="00022107" w:rsidRDefault="008F7582" w:rsidP="00022107">
            <w:pPr>
              <w:jc w:val="left"/>
            </w:pPr>
            <w:r>
              <w:t>Falsification of training records.</w:t>
            </w:r>
          </w:p>
        </w:tc>
        <w:tc>
          <w:tcPr>
            <w:tcW w:w="2628" w:type="dxa"/>
          </w:tcPr>
          <w:p w:rsidR="00022107" w:rsidRDefault="00022107" w:rsidP="00022107">
            <w:pPr>
              <w:jc w:val="left"/>
            </w:pPr>
            <w:r>
              <w:t xml:space="preserve">Probation for remainder of current </w:t>
            </w:r>
            <w:r w:rsidR="00703863">
              <w:t>certification</w:t>
            </w:r>
            <w:r>
              <w:t xml:space="preserve"> period and next cycle.  Not allowed to participate </w:t>
            </w:r>
            <w:r w:rsidR="00703863">
              <w:t>in training or skills evaluation except as described in current job description from employer.</w:t>
            </w:r>
          </w:p>
        </w:tc>
      </w:tr>
      <w:tr w:rsidR="00022107" w:rsidTr="00703863">
        <w:tc>
          <w:tcPr>
            <w:tcW w:w="2088" w:type="dxa"/>
          </w:tcPr>
          <w:p w:rsidR="00022107" w:rsidRDefault="00022107" w:rsidP="00022107">
            <w:pPr>
              <w:jc w:val="left"/>
            </w:pPr>
            <w:r>
              <w:t>Jeremiah Schneider</w:t>
            </w:r>
          </w:p>
        </w:tc>
        <w:tc>
          <w:tcPr>
            <w:tcW w:w="4860" w:type="dxa"/>
          </w:tcPr>
          <w:p w:rsidR="00022107" w:rsidRDefault="008F7582" w:rsidP="00022107">
            <w:pPr>
              <w:jc w:val="left"/>
            </w:pPr>
            <w:r>
              <w:t>Self-disclosed conviction for battery and theft</w:t>
            </w:r>
          </w:p>
        </w:tc>
        <w:tc>
          <w:tcPr>
            <w:tcW w:w="2628" w:type="dxa"/>
          </w:tcPr>
          <w:p w:rsidR="00022107" w:rsidRDefault="00703863" w:rsidP="00022107">
            <w:pPr>
              <w:jc w:val="left"/>
            </w:pPr>
            <w:r>
              <w:t>Denied Certification</w:t>
            </w:r>
          </w:p>
        </w:tc>
      </w:tr>
      <w:tr w:rsidR="00022107" w:rsidTr="00703863">
        <w:tc>
          <w:tcPr>
            <w:tcW w:w="2088" w:type="dxa"/>
          </w:tcPr>
          <w:p w:rsidR="00022107" w:rsidRDefault="00022107" w:rsidP="00022107">
            <w:pPr>
              <w:jc w:val="left"/>
            </w:pPr>
            <w:r>
              <w:t>Michael Henderson</w:t>
            </w:r>
          </w:p>
        </w:tc>
        <w:tc>
          <w:tcPr>
            <w:tcW w:w="4860" w:type="dxa"/>
          </w:tcPr>
          <w:p w:rsidR="00022107" w:rsidRDefault="008F7582" w:rsidP="00022107">
            <w:pPr>
              <w:jc w:val="left"/>
            </w:pPr>
            <w:r>
              <w:t>Multiple felonies without disposition. Did not disclose on MOU and revealed in background check.</w:t>
            </w:r>
          </w:p>
        </w:tc>
        <w:tc>
          <w:tcPr>
            <w:tcW w:w="2628" w:type="dxa"/>
          </w:tcPr>
          <w:p w:rsidR="00022107" w:rsidRDefault="00703863" w:rsidP="00703863">
            <w:pPr>
              <w:jc w:val="left"/>
            </w:pPr>
            <w:r>
              <w:t>Denied Certification</w:t>
            </w:r>
          </w:p>
        </w:tc>
      </w:tr>
      <w:tr w:rsidR="00022107" w:rsidTr="00703863">
        <w:tc>
          <w:tcPr>
            <w:tcW w:w="2088" w:type="dxa"/>
          </w:tcPr>
          <w:p w:rsidR="00022107" w:rsidRDefault="00022107" w:rsidP="00022107">
            <w:pPr>
              <w:jc w:val="left"/>
            </w:pPr>
            <w:r>
              <w:t>Benjamin Alexis</w:t>
            </w:r>
          </w:p>
        </w:tc>
        <w:tc>
          <w:tcPr>
            <w:tcW w:w="4860" w:type="dxa"/>
          </w:tcPr>
          <w:p w:rsidR="00022107" w:rsidRDefault="008F7582" w:rsidP="00022107">
            <w:pPr>
              <w:jc w:val="left"/>
            </w:pPr>
            <w:r>
              <w:t>Requested falsification of attendance records for precepting shift to avoid being dismissed from EMS training program.</w:t>
            </w:r>
          </w:p>
        </w:tc>
        <w:tc>
          <w:tcPr>
            <w:tcW w:w="2628" w:type="dxa"/>
          </w:tcPr>
          <w:p w:rsidR="00022107" w:rsidRDefault="00703863" w:rsidP="00022107">
            <w:pPr>
              <w:jc w:val="left"/>
            </w:pPr>
            <w:r>
              <w:t>No Action – Continued</w:t>
            </w:r>
          </w:p>
        </w:tc>
      </w:tr>
      <w:tr w:rsidR="00022107" w:rsidTr="00703863">
        <w:tc>
          <w:tcPr>
            <w:tcW w:w="2088" w:type="dxa"/>
          </w:tcPr>
          <w:p w:rsidR="00022107" w:rsidRDefault="00022107" w:rsidP="00022107">
            <w:pPr>
              <w:jc w:val="left"/>
            </w:pPr>
            <w:r>
              <w:t>Jeremy Martinez</w:t>
            </w:r>
          </w:p>
        </w:tc>
        <w:tc>
          <w:tcPr>
            <w:tcW w:w="4860" w:type="dxa"/>
          </w:tcPr>
          <w:p w:rsidR="00022107" w:rsidRDefault="008F7582" w:rsidP="00022107">
            <w:pPr>
              <w:jc w:val="left"/>
            </w:pPr>
            <w:r>
              <w:t>Failed drug screen</w:t>
            </w:r>
          </w:p>
        </w:tc>
        <w:tc>
          <w:tcPr>
            <w:tcW w:w="2628" w:type="dxa"/>
          </w:tcPr>
          <w:p w:rsidR="00022107" w:rsidRDefault="00022107" w:rsidP="00703863">
            <w:pPr>
              <w:jc w:val="left"/>
            </w:pPr>
            <w:r>
              <w:t xml:space="preserve">No Action – </w:t>
            </w:r>
            <w:r w:rsidR="00703863">
              <w:t>Continued</w:t>
            </w:r>
          </w:p>
        </w:tc>
      </w:tr>
      <w:tr w:rsidR="00022107" w:rsidTr="00703863">
        <w:tc>
          <w:tcPr>
            <w:tcW w:w="2088" w:type="dxa"/>
          </w:tcPr>
          <w:p w:rsidR="00022107" w:rsidRDefault="00022107" w:rsidP="00022107">
            <w:pPr>
              <w:jc w:val="left"/>
            </w:pPr>
            <w:r>
              <w:t>Russell Hayes</w:t>
            </w:r>
          </w:p>
        </w:tc>
        <w:tc>
          <w:tcPr>
            <w:tcW w:w="4860" w:type="dxa"/>
          </w:tcPr>
          <w:p w:rsidR="00022107" w:rsidRDefault="008F7582" w:rsidP="00022107">
            <w:pPr>
              <w:jc w:val="left"/>
            </w:pPr>
            <w:r>
              <w:t>Charged with disturbing the peace. Presented testimony of circumstances surrounding event and has no other criminal history or pending infractions.</w:t>
            </w:r>
          </w:p>
        </w:tc>
        <w:tc>
          <w:tcPr>
            <w:tcW w:w="2628" w:type="dxa"/>
          </w:tcPr>
          <w:p w:rsidR="00022107" w:rsidRDefault="00022107" w:rsidP="00022107">
            <w:pPr>
              <w:jc w:val="left"/>
            </w:pPr>
            <w:r>
              <w:t>No Action – Dismissed</w:t>
            </w:r>
          </w:p>
        </w:tc>
      </w:tr>
      <w:tr w:rsidR="00022107" w:rsidTr="00703863">
        <w:tc>
          <w:tcPr>
            <w:tcW w:w="2088" w:type="dxa"/>
          </w:tcPr>
          <w:p w:rsidR="00022107" w:rsidRDefault="00022107" w:rsidP="00022107">
            <w:pPr>
              <w:jc w:val="left"/>
            </w:pPr>
            <w:r>
              <w:t>Jeffery Nolen</w:t>
            </w:r>
          </w:p>
        </w:tc>
        <w:tc>
          <w:tcPr>
            <w:tcW w:w="4860" w:type="dxa"/>
          </w:tcPr>
          <w:p w:rsidR="00022107" w:rsidRDefault="008F7582" w:rsidP="00022107">
            <w:pPr>
              <w:jc w:val="left"/>
            </w:pPr>
            <w:r>
              <w:t>Falsification of documentation on EMS licensure application.  Mr. Nolen revealed a non-processed felony charge in Louisiana to the Texas BEMS</w:t>
            </w:r>
            <w:r w:rsidR="00981ABC">
              <w:t xml:space="preserve"> while </w:t>
            </w:r>
            <w:r w:rsidR="00981ABC">
              <w:lastRenderedPageBreak/>
              <w:t>applying for reciprocity which brings his ability to function as an EMS professional into question.</w:t>
            </w:r>
            <w:r>
              <w:t xml:space="preserve"> </w:t>
            </w:r>
          </w:p>
        </w:tc>
        <w:tc>
          <w:tcPr>
            <w:tcW w:w="2628" w:type="dxa"/>
          </w:tcPr>
          <w:p w:rsidR="00022107" w:rsidRDefault="00703863" w:rsidP="00022107">
            <w:pPr>
              <w:jc w:val="left"/>
            </w:pPr>
            <w:r>
              <w:lastRenderedPageBreak/>
              <w:t xml:space="preserve">Continue Suspension until completes counseling and presents release to </w:t>
            </w:r>
            <w:r>
              <w:lastRenderedPageBreak/>
              <w:t>commission certifying not a danger to self or others.</w:t>
            </w:r>
          </w:p>
        </w:tc>
      </w:tr>
      <w:tr w:rsidR="00703863" w:rsidTr="00703863">
        <w:tc>
          <w:tcPr>
            <w:tcW w:w="2088" w:type="dxa"/>
          </w:tcPr>
          <w:p w:rsidR="00703863" w:rsidRDefault="00703863" w:rsidP="00022107">
            <w:pPr>
              <w:jc w:val="left"/>
            </w:pPr>
            <w:r>
              <w:lastRenderedPageBreak/>
              <w:t>Randy Williams</w:t>
            </w:r>
          </w:p>
        </w:tc>
        <w:tc>
          <w:tcPr>
            <w:tcW w:w="4860" w:type="dxa"/>
          </w:tcPr>
          <w:p w:rsidR="00703863" w:rsidRDefault="00981ABC" w:rsidP="00022107">
            <w:pPr>
              <w:jc w:val="left"/>
            </w:pPr>
            <w:r>
              <w:t>Falsification of documentation</w:t>
            </w:r>
          </w:p>
        </w:tc>
        <w:tc>
          <w:tcPr>
            <w:tcW w:w="2628" w:type="dxa"/>
          </w:tcPr>
          <w:p w:rsidR="00703863" w:rsidRDefault="00703863" w:rsidP="00022107">
            <w:pPr>
              <w:jc w:val="left"/>
            </w:pPr>
            <w:r>
              <w:t>No Action – Continued</w:t>
            </w:r>
          </w:p>
        </w:tc>
      </w:tr>
    </w:tbl>
    <w:p w:rsidR="000A6239" w:rsidRDefault="000A6239"/>
    <w:p w:rsidR="00D16B98" w:rsidRDefault="00D16B98" w:rsidP="00D16B98">
      <w:pPr>
        <w:pStyle w:val="Heading2"/>
      </w:pPr>
      <w:r>
        <w:t>Table 2 – Old Business</w:t>
      </w:r>
    </w:p>
    <w:tbl>
      <w:tblPr>
        <w:tblStyle w:val="TableGrid"/>
        <w:tblW w:w="0" w:type="auto"/>
        <w:tblLook w:val="04A0" w:firstRow="1" w:lastRow="0" w:firstColumn="1" w:lastColumn="0" w:noHBand="0" w:noVBand="1"/>
      </w:tblPr>
      <w:tblGrid>
        <w:gridCol w:w="2394"/>
        <w:gridCol w:w="2394"/>
        <w:gridCol w:w="4770"/>
      </w:tblGrid>
      <w:tr w:rsidR="00D16B98" w:rsidTr="00D16B98">
        <w:tc>
          <w:tcPr>
            <w:tcW w:w="2394" w:type="dxa"/>
          </w:tcPr>
          <w:p w:rsidR="00D16B98" w:rsidRDefault="00D16B98" w:rsidP="00D16B98">
            <w:pPr>
              <w:jc w:val="left"/>
            </w:pPr>
            <w:r>
              <w:t>Topic</w:t>
            </w:r>
          </w:p>
        </w:tc>
        <w:tc>
          <w:tcPr>
            <w:tcW w:w="2394" w:type="dxa"/>
          </w:tcPr>
          <w:p w:rsidR="00D16B98" w:rsidRDefault="00D16B98" w:rsidP="00D16B98">
            <w:pPr>
              <w:jc w:val="left"/>
            </w:pPr>
            <w:r>
              <w:t>Action</w:t>
            </w:r>
          </w:p>
        </w:tc>
        <w:tc>
          <w:tcPr>
            <w:tcW w:w="4770" w:type="dxa"/>
          </w:tcPr>
          <w:p w:rsidR="00D16B98" w:rsidRDefault="00D16B98" w:rsidP="00D16B98">
            <w:pPr>
              <w:jc w:val="left"/>
            </w:pPr>
            <w:r>
              <w:t>Notes</w:t>
            </w:r>
          </w:p>
        </w:tc>
      </w:tr>
      <w:tr w:rsidR="00D16B98" w:rsidTr="00D16B98">
        <w:tc>
          <w:tcPr>
            <w:tcW w:w="2394" w:type="dxa"/>
          </w:tcPr>
          <w:p w:rsidR="00D16B98" w:rsidRDefault="00D16B98" w:rsidP="00D16B98">
            <w:pPr>
              <w:jc w:val="left"/>
            </w:pPr>
            <w:r>
              <w:t>BEMS Updates</w:t>
            </w:r>
          </w:p>
        </w:tc>
        <w:tc>
          <w:tcPr>
            <w:tcW w:w="2394" w:type="dxa"/>
          </w:tcPr>
          <w:p w:rsidR="00D16B98" w:rsidRDefault="00D16B98" w:rsidP="00D16B98">
            <w:pPr>
              <w:jc w:val="left"/>
            </w:pPr>
            <w:r>
              <w:t>N/A</w:t>
            </w:r>
          </w:p>
        </w:tc>
        <w:tc>
          <w:tcPr>
            <w:tcW w:w="4770" w:type="dxa"/>
          </w:tcPr>
          <w:p w:rsidR="00D16B98" w:rsidRDefault="00D16B98" w:rsidP="00D16B98">
            <w:pPr>
              <w:jc w:val="left"/>
            </w:pPr>
          </w:p>
        </w:tc>
      </w:tr>
      <w:tr w:rsidR="00D16B98" w:rsidTr="00D16B98">
        <w:tc>
          <w:tcPr>
            <w:tcW w:w="2394" w:type="dxa"/>
          </w:tcPr>
          <w:p w:rsidR="00D16B98" w:rsidRDefault="00D16B98" w:rsidP="00D16B98">
            <w:pPr>
              <w:jc w:val="left"/>
            </w:pPr>
            <w:r>
              <w:t>EMSC Updates</w:t>
            </w:r>
          </w:p>
        </w:tc>
        <w:tc>
          <w:tcPr>
            <w:tcW w:w="2394" w:type="dxa"/>
          </w:tcPr>
          <w:p w:rsidR="00D16B98" w:rsidRDefault="00D16B98" w:rsidP="00D16B98">
            <w:r w:rsidRPr="009363C0">
              <w:t>N/A</w:t>
            </w:r>
          </w:p>
        </w:tc>
        <w:tc>
          <w:tcPr>
            <w:tcW w:w="4770" w:type="dxa"/>
          </w:tcPr>
          <w:p w:rsidR="00D16B98" w:rsidRDefault="00D16B98" w:rsidP="00D16B98">
            <w:pPr>
              <w:jc w:val="left"/>
            </w:pPr>
          </w:p>
        </w:tc>
      </w:tr>
      <w:tr w:rsidR="00D16B98" w:rsidTr="00D16B98">
        <w:tc>
          <w:tcPr>
            <w:tcW w:w="2394" w:type="dxa"/>
          </w:tcPr>
          <w:p w:rsidR="00D16B98" w:rsidRDefault="00D16B98" w:rsidP="00D16B98">
            <w:pPr>
              <w:jc w:val="left"/>
            </w:pPr>
            <w:r>
              <w:t>Education and Exam Updates</w:t>
            </w:r>
          </w:p>
        </w:tc>
        <w:tc>
          <w:tcPr>
            <w:tcW w:w="2394" w:type="dxa"/>
          </w:tcPr>
          <w:p w:rsidR="00D16B98" w:rsidRDefault="00D16B98" w:rsidP="00D16B98">
            <w:r w:rsidRPr="009363C0">
              <w:t>N/A</w:t>
            </w:r>
          </w:p>
        </w:tc>
        <w:tc>
          <w:tcPr>
            <w:tcW w:w="4770" w:type="dxa"/>
          </w:tcPr>
          <w:p w:rsidR="00D16B98" w:rsidRDefault="00D16B98" w:rsidP="00D16B98">
            <w:pPr>
              <w:jc w:val="left"/>
            </w:pPr>
          </w:p>
        </w:tc>
      </w:tr>
      <w:tr w:rsidR="00D16B98" w:rsidTr="00D16B98">
        <w:tc>
          <w:tcPr>
            <w:tcW w:w="2394" w:type="dxa"/>
          </w:tcPr>
          <w:p w:rsidR="00D16B98" w:rsidRDefault="00D16B98" w:rsidP="00D16B98">
            <w:pPr>
              <w:jc w:val="left"/>
            </w:pPr>
            <w:r>
              <w:t>Licensure and Workforce Development Updates</w:t>
            </w:r>
          </w:p>
        </w:tc>
        <w:tc>
          <w:tcPr>
            <w:tcW w:w="2394" w:type="dxa"/>
          </w:tcPr>
          <w:p w:rsidR="00D16B98" w:rsidRDefault="00D16B98" w:rsidP="00D16B98">
            <w:r w:rsidRPr="009363C0">
              <w:t>N/A</w:t>
            </w:r>
          </w:p>
        </w:tc>
        <w:tc>
          <w:tcPr>
            <w:tcW w:w="4770" w:type="dxa"/>
          </w:tcPr>
          <w:p w:rsidR="00D16B98" w:rsidRDefault="00D16B98" w:rsidP="00D16B98">
            <w:pPr>
              <w:jc w:val="left"/>
            </w:pPr>
          </w:p>
        </w:tc>
      </w:tr>
    </w:tbl>
    <w:p w:rsidR="00D16B98" w:rsidRDefault="00D16B98" w:rsidP="00D16B98">
      <w:pPr>
        <w:jc w:val="left"/>
      </w:pPr>
    </w:p>
    <w:p w:rsidR="00720CDC" w:rsidRDefault="00D16B98" w:rsidP="00D16B98">
      <w:pPr>
        <w:pStyle w:val="Heading2"/>
      </w:pPr>
      <w:r>
        <w:t>Table 3- New Business</w:t>
      </w:r>
      <w:r w:rsidR="00CA2A5F">
        <w:tab/>
      </w:r>
      <w:r w:rsidR="00CA2A5F">
        <w:tab/>
      </w:r>
      <w:r w:rsidR="00CA2A5F">
        <w:tab/>
      </w:r>
    </w:p>
    <w:tbl>
      <w:tblPr>
        <w:tblStyle w:val="TableGrid"/>
        <w:tblW w:w="0" w:type="auto"/>
        <w:tblLook w:val="04A0" w:firstRow="1" w:lastRow="0" w:firstColumn="1" w:lastColumn="0" w:noHBand="0" w:noVBand="1"/>
      </w:tblPr>
      <w:tblGrid>
        <w:gridCol w:w="4788"/>
        <w:gridCol w:w="4770"/>
      </w:tblGrid>
      <w:tr w:rsidR="00D16B98" w:rsidTr="00D16B98">
        <w:tc>
          <w:tcPr>
            <w:tcW w:w="4788" w:type="dxa"/>
          </w:tcPr>
          <w:p w:rsidR="00D16B98" w:rsidRDefault="00D16B98" w:rsidP="00802CCE">
            <w:pPr>
              <w:jc w:val="left"/>
            </w:pPr>
            <w:r>
              <w:t>Topic</w:t>
            </w:r>
          </w:p>
        </w:tc>
        <w:tc>
          <w:tcPr>
            <w:tcW w:w="4770" w:type="dxa"/>
          </w:tcPr>
          <w:p w:rsidR="00D16B98" w:rsidRDefault="00D16B98" w:rsidP="00802CCE">
            <w:pPr>
              <w:jc w:val="left"/>
            </w:pPr>
            <w:r>
              <w:t>Notes</w:t>
            </w:r>
          </w:p>
        </w:tc>
      </w:tr>
      <w:tr w:rsidR="00D16B98" w:rsidTr="00D16B98">
        <w:tc>
          <w:tcPr>
            <w:tcW w:w="4788" w:type="dxa"/>
          </w:tcPr>
          <w:p w:rsidR="00D16B98" w:rsidRDefault="00D16B98" w:rsidP="00802CCE">
            <w:pPr>
              <w:jc w:val="left"/>
            </w:pPr>
            <w:r>
              <w:t>Clarification on long form disclosure is requested from BEMS staff.</w:t>
            </w:r>
          </w:p>
        </w:tc>
        <w:tc>
          <w:tcPr>
            <w:tcW w:w="4770" w:type="dxa"/>
          </w:tcPr>
          <w:p w:rsidR="00D16B98" w:rsidRDefault="00EE0192" w:rsidP="00802CCE">
            <w:pPr>
              <w:jc w:val="left"/>
            </w:pPr>
            <w:r>
              <w:t xml:space="preserve">Investigation shows that the wording of the LA felony conviction statement is significantly different from Texas and allows for a different response to the background questions.  For example, LA asks if “convicted” while TX asks if “ever charged”.  A case presented to the EMSCC showed that an applicant who’s charges were not processed by DA in Louisiana was allowed to enroll in an EMS training program simply because LA only asks if “convicted”… </w:t>
            </w:r>
          </w:p>
        </w:tc>
      </w:tr>
      <w:tr w:rsidR="00D16B98" w:rsidTr="00D16B98">
        <w:tc>
          <w:tcPr>
            <w:tcW w:w="4788" w:type="dxa"/>
          </w:tcPr>
          <w:p w:rsidR="00D16B98" w:rsidRDefault="00D16B98" w:rsidP="00802CCE">
            <w:pPr>
              <w:jc w:val="left"/>
            </w:pPr>
            <w:r>
              <w:t>Clarification on process for summons letters is requested from BEMS staff.</w:t>
            </w:r>
          </w:p>
        </w:tc>
        <w:tc>
          <w:tcPr>
            <w:tcW w:w="4770" w:type="dxa"/>
          </w:tcPr>
          <w:p w:rsidR="00D16B98" w:rsidRDefault="00D16B98" w:rsidP="00802CCE">
            <w:pPr>
              <w:jc w:val="left"/>
            </w:pPr>
          </w:p>
        </w:tc>
      </w:tr>
      <w:tr w:rsidR="00D16B98" w:rsidTr="00D16B98">
        <w:tc>
          <w:tcPr>
            <w:tcW w:w="4788" w:type="dxa"/>
          </w:tcPr>
          <w:p w:rsidR="00D16B98" w:rsidRDefault="00D16B98" w:rsidP="00802CCE">
            <w:pPr>
              <w:jc w:val="left"/>
            </w:pPr>
            <w:r>
              <w:t>Format and presentation of evidence and infractions presented to EMSC by BEMS Staff.</w:t>
            </w:r>
          </w:p>
        </w:tc>
        <w:tc>
          <w:tcPr>
            <w:tcW w:w="4770" w:type="dxa"/>
          </w:tcPr>
          <w:p w:rsidR="00D16B98" w:rsidRDefault="00EE0192" w:rsidP="00802CCE">
            <w:pPr>
              <w:jc w:val="left"/>
            </w:pPr>
            <w:r>
              <w:t>BEMS is in transition and many of the cases presented to EMSCC were handled by outgoing staff.</w:t>
            </w:r>
          </w:p>
        </w:tc>
      </w:tr>
      <w:tr w:rsidR="00D16B98" w:rsidTr="00D16B98">
        <w:tc>
          <w:tcPr>
            <w:tcW w:w="4788" w:type="dxa"/>
          </w:tcPr>
          <w:p w:rsidR="00D16B98" w:rsidRDefault="00D16B98" w:rsidP="00802CCE">
            <w:pPr>
              <w:jc w:val="left"/>
            </w:pPr>
            <w:r>
              <w:t>EMCC requests that the BEMS present a record of what infractions are being handled at BEMS level and how these are identified.</w:t>
            </w:r>
          </w:p>
        </w:tc>
        <w:tc>
          <w:tcPr>
            <w:tcW w:w="4770" w:type="dxa"/>
          </w:tcPr>
          <w:p w:rsidR="00D16B98" w:rsidRDefault="00EE0192" w:rsidP="00802CCE">
            <w:pPr>
              <w:jc w:val="left"/>
            </w:pPr>
            <w:r>
              <w:t>Intent is to allow transparency on how BEMS handles lesser infractions and if this practice matches the matrix presented in Misc. Discipline Guide.</w:t>
            </w:r>
          </w:p>
        </w:tc>
      </w:tr>
    </w:tbl>
    <w:p w:rsidR="00720CDC" w:rsidRDefault="00720CDC">
      <w:bookmarkStart w:id="1" w:name="_GoBack"/>
      <w:bookmarkEnd w:id="1"/>
    </w:p>
    <w:sectPr w:rsidR="00720CD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5F" w:rsidRDefault="00CA2A5F">
      <w:pPr>
        <w:spacing w:after="0" w:line="240" w:lineRule="auto"/>
      </w:pPr>
      <w:r>
        <w:separator/>
      </w:r>
    </w:p>
  </w:endnote>
  <w:endnote w:type="continuationSeparator" w:id="0">
    <w:p w:rsidR="00CA2A5F" w:rsidRDefault="00CA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DC" w:rsidRDefault="00720CDC">
    <w:pPr>
      <w:tabs>
        <w:tab w:val="center" w:pos="4680"/>
        <w:tab w:val="right" w:pos="9360"/>
      </w:tabs>
      <w:spacing w:after="0" w:line="240" w:lineRule="auto"/>
    </w:pPr>
  </w:p>
  <w:p w:rsidR="00720CDC" w:rsidRDefault="00CA2A5F">
    <w:pPr>
      <w:tabs>
        <w:tab w:val="center" w:pos="4680"/>
        <w:tab w:val="right" w:pos="9360"/>
      </w:tabs>
      <w:spacing w:after="720" w:line="240" w:lineRule="auto"/>
    </w:pPr>
    <w:r>
      <w:rPr>
        <w:rFonts w:ascii="Calibri" w:eastAsia="Calibri" w:hAnsi="Calibri" w:cs="Calibri"/>
      </w:rPr>
      <w:t>A transcript of LA EMS Commission proceedings is available from the Louisiana Bureau Of EMS upon request and at the cost of the requesti</w:t>
    </w:r>
    <w:r>
      <w:rPr>
        <w:rFonts w:ascii="Calibri" w:eastAsia="Calibri" w:hAnsi="Calibri" w:cs="Calibri"/>
      </w:rPr>
      <w:t>ng body or individual.</w:t>
    </w:r>
    <w:r>
      <w:rPr>
        <w:rFonts w:ascii="Calibri" w:eastAsia="Calibri" w:hAnsi="Calibri" w:cs="Calibri"/>
      </w:rPr>
      <w:tab/>
    </w:r>
    <w:r>
      <w:fldChar w:fldCharType="begin"/>
    </w:r>
    <w:r>
      <w:instrText>PAGE</w:instrText>
    </w:r>
    <w:r>
      <w:fldChar w:fldCharType="separate"/>
    </w:r>
    <w:r w:rsidR="00EE0192">
      <w:rPr>
        <w:noProof/>
      </w:rPr>
      <w:t>2</w:t>
    </w:r>
    <w:r>
      <w:fldChar w:fldCharType="end"/>
    </w:r>
  </w:p>
  <w:p w:rsidR="00720CDC" w:rsidRDefault="00720CDC">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5F" w:rsidRDefault="00CA2A5F">
      <w:pPr>
        <w:spacing w:after="0" w:line="240" w:lineRule="auto"/>
      </w:pPr>
      <w:r>
        <w:separator/>
      </w:r>
    </w:p>
  </w:footnote>
  <w:footnote w:type="continuationSeparator" w:id="0">
    <w:p w:rsidR="00CA2A5F" w:rsidRDefault="00CA2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DC" w:rsidRDefault="00CA2A5F">
    <w:pPr>
      <w:tabs>
        <w:tab w:val="center" w:pos="4680"/>
        <w:tab w:val="right" w:pos="9360"/>
      </w:tabs>
      <w:spacing w:before="720" w:after="0" w:line="240" w:lineRule="auto"/>
    </w:pPr>
    <w:r>
      <w:rPr>
        <w:rFonts w:ascii="Calibri" w:eastAsia="Calibri" w:hAnsi="Calibri" w:cs="Calibri"/>
        <w:b/>
        <w:sz w:val="32"/>
        <w:szCs w:val="32"/>
      </w:rPr>
      <w:t>State of Louisiana</w:t>
    </w:r>
  </w:p>
  <w:p w:rsidR="00720CDC" w:rsidRDefault="00CA2A5F">
    <w:pPr>
      <w:tabs>
        <w:tab w:val="center" w:pos="4680"/>
        <w:tab w:val="right" w:pos="9360"/>
      </w:tabs>
      <w:spacing w:after="0" w:line="240" w:lineRule="auto"/>
    </w:pPr>
    <w:r>
      <w:rPr>
        <w:rFonts w:ascii="Calibri" w:eastAsia="Calibri" w:hAnsi="Calibri" w:cs="Calibri"/>
        <w:b/>
        <w:sz w:val="32"/>
        <w:szCs w:val="32"/>
      </w:rPr>
      <w:t xml:space="preserve">EMS Certification Commission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7623"/>
    <w:multiLevelType w:val="multilevel"/>
    <w:tmpl w:val="E76EE3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DD60E6B"/>
    <w:multiLevelType w:val="multilevel"/>
    <w:tmpl w:val="C61248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58B03D1"/>
    <w:multiLevelType w:val="multilevel"/>
    <w:tmpl w:val="1CC07B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6E972D4"/>
    <w:multiLevelType w:val="hybridMultilevel"/>
    <w:tmpl w:val="E170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62570"/>
    <w:multiLevelType w:val="multilevel"/>
    <w:tmpl w:val="1CC07B70"/>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IwMjY2NTOyNDExMLVU0lEKTi0uzszPAykwrAUA9/Og7CwAAAA="/>
  </w:docVars>
  <w:rsids>
    <w:rsidRoot w:val="00720CDC"/>
    <w:rsid w:val="00022107"/>
    <w:rsid w:val="000A6239"/>
    <w:rsid w:val="0067495D"/>
    <w:rsid w:val="00703863"/>
    <w:rsid w:val="00720CDC"/>
    <w:rsid w:val="008F7582"/>
    <w:rsid w:val="00981ABC"/>
    <w:rsid w:val="00C5280F"/>
    <w:rsid w:val="00CA2A5F"/>
    <w:rsid w:val="00CC776C"/>
    <w:rsid w:val="00D16B98"/>
    <w:rsid w:val="00EE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9ACF4-47A7-48E2-99B3-60BC33C8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239"/>
  </w:style>
  <w:style w:type="paragraph" w:styleId="Heading1">
    <w:name w:val="heading 1"/>
    <w:basedOn w:val="Normal"/>
    <w:next w:val="Normal"/>
    <w:link w:val="Heading1Char"/>
    <w:uiPriority w:val="9"/>
    <w:qFormat/>
    <w:rsid w:val="000A623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0A623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0A623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0A623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0A623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0A623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A623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A623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A6239"/>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6239"/>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A6239"/>
    <w:pPr>
      <w:numPr>
        <w:ilvl w:val="1"/>
      </w:numPr>
      <w:spacing w:after="240"/>
      <w:jc w:val="center"/>
    </w:pPr>
    <w:rPr>
      <w:rFonts w:asciiTheme="majorHAnsi" w:eastAsiaTheme="majorEastAsia" w:hAnsiTheme="majorHAnsi" w:cstheme="majorBidi"/>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A6239"/>
    <w:pPr>
      <w:ind w:left="720"/>
      <w:contextualSpacing/>
    </w:pPr>
  </w:style>
  <w:style w:type="character" w:customStyle="1" w:styleId="Heading1Char">
    <w:name w:val="Heading 1 Char"/>
    <w:basedOn w:val="DefaultParagraphFont"/>
    <w:link w:val="Heading1"/>
    <w:uiPriority w:val="9"/>
    <w:rsid w:val="000A623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0A623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0A623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0A623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0A6239"/>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0A623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A6239"/>
    <w:rPr>
      <w:i/>
      <w:iCs/>
    </w:rPr>
  </w:style>
  <w:style w:type="character" w:customStyle="1" w:styleId="Heading8Char">
    <w:name w:val="Heading 8 Char"/>
    <w:basedOn w:val="DefaultParagraphFont"/>
    <w:link w:val="Heading8"/>
    <w:uiPriority w:val="9"/>
    <w:semiHidden/>
    <w:rsid w:val="000A6239"/>
    <w:rPr>
      <w:b/>
      <w:bCs/>
    </w:rPr>
  </w:style>
  <w:style w:type="character" w:customStyle="1" w:styleId="Heading9Char">
    <w:name w:val="Heading 9 Char"/>
    <w:basedOn w:val="DefaultParagraphFont"/>
    <w:link w:val="Heading9"/>
    <w:uiPriority w:val="9"/>
    <w:semiHidden/>
    <w:rsid w:val="000A6239"/>
    <w:rPr>
      <w:i/>
      <w:iCs/>
    </w:rPr>
  </w:style>
  <w:style w:type="paragraph" w:styleId="Caption">
    <w:name w:val="caption"/>
    <w:basedOn w:val="Normal"/>
    <w:next w:val="Normal"/>
    <w:uiPriority w:val="35"/>
    <w:semiHidden/>
    <w:unhideWhenUsed/>
    <w:qFormat/>
    <w:rsid w:val="000A6239"/>
    <w:rPr>
      <w:b/>
      <w:bCs/>
      <w:sz w:val="18"/>
      <w:szCs w:val="18"/>
    </w:rPr>
  </w:style>
  <w:style w:type="character" w:customStyle="1" w:styleId="TitleChar">
    <w:name w:val="Title Char"/>
    <w:basedOn w:val="DefaultParagraphFont"/>
    <w:link w:val="Title"/>
    <w:uiPriority w:val="10"/>
    <w:rsid w:val="000A6239"/>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0A6239"/>
    <w:rPr>
      <w:rFonts w:asciiTheme="majorHAnsi" w:eastAsiaTheme="majorEastAsia" w:hAnsiTheme="majorHAnsi" w:cstheme="majorBidi"/>
      <w:sz w:val="24"/>
      <w:szCs w:val="24"/>
    </w:rPr>
  </w:style>
  <w:style w:type="character" w:styleId="Strong">
    <w:name w:val="Strong"/>
    <w:basedOn w:val="DefaultParagraphFont"/>
    <w:uiPriority w:val="22"/>
    <w:qFormat/>
    <w:rsid w:val="000A6239"/>
    <w:rPr>
      <w:b/>
      <w:bCs/>
      <w:color w:val="auto"/>
    </w:rPr>
  </w:style>
  <w:style w:type="character" w:styleId="Emphasis">
    <w:name w:val="Emphasis"/>
    <w:basedOn w:val="DefaultParagraphFont"/>
    <w:uiPriority w:val="20"/>
    <w:qFormat/>
    <w:rsid w:val="000A6239"/>
    <w:rPr>
      <w:i/>
      <w:iCs/>
      <w:color w:val="auto"/>
    </w:rPr>
  </w:style>
  <w:style w:type="paragraph" w:styleId="NoSpacing">
    <w:name w:val="No Spacing"/>
    <w:link w:val="NoSpacingChar"/>
    <w:uiPriority w:val="1"/>
    <w:qFormat/>
    <w:rsid w:val="000A6239"/>
    <w:pPr>
      <w:spacing w:after="0" w:line="240" w:lineRule="auto"/>
    </w:pPr>
  </w:style>
  <w:style w:type="character" w:customStyle="1" w:styleId="NoSpacingChar">
    <w:name w:val="No Spacing Char"/>
    <w:basedOn w:val="DefaultParagraphFont"/>
    <w:link w:val="NoSpacing"/>
    <w:uiPriority w:val="1"/>
    <w:rsid w:val="000A6239"/>
  </w:style>
  <w:style w:type="paragraph" w:styleId="Quote">
    <w:name w:val="Quote"/>
    <w:basedOn w:val="Normal"/>
    <w:next w:val="Normal"/>
    <w:link w:val="QuoteChar"/>
    <w:uiPriority w:val="29"/>
    <w:qFormat/>
    <w:rsid w:val="000A623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A623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A623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A623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A6239"/>
    <w:rPr>
      <w:i/>
      <w:iCs/>
      <w:color w:val="auto"/>
    </w:rPr>
  </w:style>
  <w:style w:type="character" w:styleId="IntenseEmphasis">
    <w:name w:val="Intense Emphasis"/>
    <w:basedOn w:val="DefaultParagraphFont"/>
    <w:uiPriority w:val="21"/>
    <w:qFormat/>
    <w:rsid w:val="000A6239"/>
    <w:rPr>
      <w:b/>
      <w:bCs/>
      <w:i/>
      <w:iCs/>
      <w:color w:val="auto"/>
    </w:rPr>
  </w:style>
  <w:style w:type="character" w:styleId="SubtleReference">
    <w:name w:val="Subtle Reference"/>
    <w:basedOn w:val="DefaultParagraphFont"/>
    <w:uiPriority w:val="31"/>
    <w:qFormat/>
    <w:rsid w:val="000A6239"/>
    <w:rPr>
      <w:smallCaps/>
      <w:color w:val="auto"/>
      <w:u w:val="single" w:color="7F7F7F" w:themeColor="text1" w:themeTint="80"/>
    </w:rPr>
  </w:style>
  <w:style w:type="character" w:styleId="IntenseReference">
    <w:name w:val="Intense Reference"/>
    <w:basedOn w:val="DefaultParagraphFont"/>
    <w:uiPriority w:val="32"/>
    <w:qFormat/>
    <w:rsid w:val="000A6239"/>
    <w:rPr>
      <w:b/>
      <w:bCs/>
      <w:smallCaps/>
      <w:color w:val="auto"/>
      <w:u w:val="single"/>
    </w:rPr>
  </w:style>
  <w:style w:type="character" w:styleId="BookTitle">
    <w:name w:val="Book Title"/>
    <w:basedOn w:val="DefaultParagraphFont"/>
    <w:uiPriority w:val="33"/>
    <w:qFormat/>
    <w:rsid w:val="000A6239"/>
    <w:rPr>
      <w:b/>
      <w:bCs/>
      <w:smallCaps/>
      <w:color w:val="auto"/>
    </w:rPr>
  </w:style>
  <w:style w:type="paragraph" w:styleId="TOCHeading">
    <w:name w:val="TOC Heading"/>
    <w:basedOn w:val="Heading1"/>
    <w:next w:val="Normal"/>
    <w:uiPriority w:val="39"/>
    <w:semiHidden/>
    <w:unhideWhenUsed/>
    <w:qFormat/>
    <w:rsid w:val="000A6239"/>
    <w:pPr>
      <w:outlineLvl w:val="9"/>
    </w:pPr>
  </w:style>
  <w:style w:type="table" w:styleId="TableGrid">
    <w:name w:val="Table Grid"/>
    <w:basedOn w:val="TableNormal"/>
    <w:uiPriority w:val="39"/>
    <w:rsid w:val="0002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Mixon, Chris</dc:creator>
  <cp:lastModifiedBy>Mixon, Chris</cp:lastModifiedBy>
  <cp:revision>2</cp:revision>
  <dcterms:created xsi:type="dcterms:W3CDTF">2016-07-12T20:03:00Z</dcterms:created>
  <dcterms:modified xsi:type="dcterms:W3CDTF">2016-07-12T20:03:00Z</dcterms:modified>
</cp:coreProperties>
</file>